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AD0" w:rsidRDefault="00194AD0" w:rsidP="00194AD0">
      <w:pPr>
        <w:pBdr>
          <w:top w:val="single" w:sz="18" w:space="1" w:color="FF0000"/>
          <w:left w:val="single" w:sz="18" w:space="4" w:color="FF0000"/>
          <w:bottom w:val="single" w:sz="18" w:space="1" w:color="FF0000"/>
          <w:right w:val="single" w:sz="18" w:space="4" w:color="FF0000"/>
        </w:pBdr>
        <w:jc w:val="center"/>
        <w:rPr>
          <w:rFonts w:ascii="Arial" w:hAnsi="Arial" w:cs="Arial"/>
          <w:b/>
          <w:sz w:val="24"/>
        </w:rPr>
      </w:pPr>
      <w:r w:rsidRPr="00EF1871">
        <w:rPr>
          <w:rFonts w:ascii="Arial" w:hAnsi="Arial" w:cs="Arial"/>
          <w:b/>
          <w:smallCaps/>
          <w:sz w:val="24"/>
        </w:rPr>
        <w:t>ACTIVIT</w:t>
      </w:r>
      <w:r w:rsidRPr="00CB374D">
        <w:rPr>
          <w:rFonts w:ascii="Arial" w:hAnsi="Arial" w:cs="Arial"/>
          <w:b/>
          <w:sz w:val="24"/>
        </w:rPr>
        <w:t>É</w:t>
      </w:r>
      <w:r>
        <w:rPr>
          <w:rFonts w:ascii="Arial" w:hAnsi="Arial" w:cs="Arial"/>
          <w:b/>
          <w:smallCaps/>
          <w:sz w:val="24"/>
        </w:rPr>
        <w:t xml:space="preserve"> 5 </w:t>
      </w:r>
      <w:r w:rsidRPr="00194AD0">
        <w:rPr>
          <w:rFonts w:ascii="Arial" w:hAnsi="Arial" w:cs="Arial"/>
          <w:b/>
          <w:sz w:val="24"/>
        </w:rPr>
        <w:t>TP : simulation et discussion</w:t>
      </w:r>
    </w:p>
    <w:p w:rsidR="00194AD0" w:rsidRDefault="00194AD0" w:rsidP="00194AD0">
      <w:pPr>
        <w:tabs>
          <w:tab w:val="left" w:pos="3747"/>
          <w:tab w:val="center" w:pos="4513"/>
        </w:tabs>
        <w:jc w:val="left"/>
        <w:rPr>
          <w:rFonts w:ascii="Arial" w:hAnsi="Arial" w:cs="Arial"/>
          <w:b/>
          <w:smallCaps/>
          <w:sz w:val="24"/>
        </w:rPr>
      </w:pPr>
    </w:p>
    <w:p w:rsidR="00176205" w:rsidRDefault="00176205" w:rsidP="00176205">
      <w:pPr>
        <w:rPr>
          <w:rFonts w:ascii="Arial" w:hAnsi="Arial" w:cs="Arial"/>
          <w:b/>
          <w:sz w:val="24"/>
        </w:rPr>
      </w:pPr>
      <w:r>
        <w:rPr>
          <w:rFonts w:ascii="Arial" w:hAnsi="Arial" w:cs="Arial"/>
          <w:b/>
          <w:sz w:val="24"/>
        </w:rPr>
        <w:t>Objectif : identifier les variables internes et externes d’un modèle, simuler le comportement dynamique du chauffe-eau.</w:t>
      </w:r>
    </w:p>
    <w:p w:rsidR="00CB374D" w:rsidRDefault="00CB374D" w:rsidP="00176205">
      <w:pPr>
        <w:rPr>
          <w:rFonts w:ascii="Arial" w:hAnsi="Arial" w:cs="Arial"/>
          <w:b/>
          <w:sz w:val="24"/>
        </w:rPr>
      </w:pPr>
      <w:r w:rsidRPr="00BA2AFE">
        <w:rPr>
          <w:rFonts w:ascii="Arial" w:hAnsi="Arial" w:cs="Arial"/>
          <w:noProof/>
          <w:sz w:val="24"/>
        </w:rPr>
        <w:drawing>
          <wp:inline distT="0" distB="0" distL="0" distR="0" wp14:anchorId="58093541" wp14:editId="744CF453">
            <wp:extent cx="5731510" cy="2305050"/>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5731510" cy="2305050"/>
                    </a:xfrm>
                    <a:prstGeom prst="rect">
                      <a:avLst/>
                    </a:prstGeom>
                  </pic:spPr>
                </pic:pic>
              </a:graphicData>
            </a:graphic>
          </wp:inline>
        </w:drawing>
      </w:r>
    </w:p>
    <w:p w:rsidR="00CB374D" w:rsidRDefault="00CB374D" w:rsidP="00176205">
      <w:pPr>
        <w:rPr>
          <w:rFonts w:ascii="Arial" w:hAnsi="Arial" w:cs="Arial"/>
          <w:b/>
          <w:sz w:val="24"/>
        </w:rPr>
      </w:pPr>
    </w:p>
    <w:p w:rsidR="002158AC" w:rsidRDefault="00176205" w:rsidP="00176205">
      <w:pPr>
        <w:pStyle w:val="Paragraphedeliste"/>
        <w:numPr>
          <w:ilvl w:val="0"/>
          <w:numId w:val="1"/>
        </w:numPr>
        <w:rPr>
          <w:rFonts w:ascii="Arial" w:hAnsi="Arial" w:cs="Arial"/>
          <w:sz w:val="24"/>
        </w:rPr>
      </w:pPr>
      <w:r w:rsidRPr="00B452A4">
        <w:rPr>
          <w:rFonts w:ascii="Arial" w:hAnsi="Arial" w:cs="Arial"/>
          <w:sz w:val="24"/>
        </w:rPr>
        <w:t>Iden</w:t>
      </w:r>
      <w:r>
        <w:rPr>
          <w:rFonts w:ascii="Arial" w:hAnsi="Arial" w:cs="Arial"/>
          <w:sz w:val="24"/>
        </w:rPr>
        <w:t>tifier les composants du modèle (mod</w:t>
      </w:r>
      <w:r w:rsidR="00CB374D">
        <w:rPr>
          <w:rFonts w:ascii="Arial" w:hAnsi="Arial" w:cs="Arial"/>
          <w:sz w:val="24"/>
        </w:rPr>
        <w:t>e</w:t>
      </w:r>
      <w:r>
        <w:rPr>
          <w:rFonts w:ascii="Arial" w:hAnsi="Arial" w:cs="Arial"/>
          <w:sz w:val="24"/>
        </w:rPr>
        <w:t xml:space="preserve">le1_CE.psimsch) </w:t>
      </w:r>
      <w:r w:rsidRPr="00B452A4">
        <w:rPr>
          <w:rFonts w:ascii="Arial" w:hAnsi="Arial" w:cs="Arial"/>
          <w:sz w:val="24"/>
        </w:rPr>
        <w:t>qui rendent compte de l’énergie thermiq</w:t>
      </w:r>
      <w:r>
        <w:rPr>
          <w:rFonts w:ascii="Arial" w:hAnsi="Arial" w:cs="Arial"/>
          <w:sz w:val="24"/>
        </w:rPr>
        <w:t xml:space="preserve">ue stockée dans le ballon et </w:t>
      </w:r>
      <w:r w:rsidRPr="00B452A4">
        <w:rPr>
          <w:rFonts w:ascii="Arial" w:hAnsi="Arial" w:cs="Arial"/>
          <w:sz w:val="24"/>
        </w:rPr>
        <w:t xml:space="preserve">de l’énergie perdue par conduction et convection avec le milieu extérieur. </w:t>
      </w:r>
    </w:p>
    <w:p w:rsidR="00176205" w:rsidRPr="002158AC" w:rsidRDefault="00176205" w:rsidP="002158AC">
      <w:pPr>
        <w:ind w:left="360"/>
        <w:rPr>
          <w:rFonts w:ascii="Arial" w:hAnsi="Arial" w:cs="Arial"/>
          <w:sz w:val="24"/>
        </w:rPr>
      </w:pPr>
      <w:r w:rsidRPr="002158AC">
        <w:rPr>
          <w:rFonts w:ascii="Arial" w:hAnsi="Arial" w:cs="Arial"/>
          <w:sz w:val="24"/>
        </w:rPr>
        <w:t>Justifier la valeur de l’élément de stockage, sachant que le volume de stockage est de 300 L.</w:t>
      </w:r>
      <w:r w:rsidR="009B0604">
        <w:rPr>
          <w:rFonts w:ascii="Arial" w:hAnsi="Arial" w:cs="Arial"/>
          <w:sz w:val="24"/>
        </w:rPr>
        <w:t xml:space="preserve"> Identifier les composants qui </w:t>
      </w:r>
      <w:r w:rsidR="00B84415">
        <w:rPr>
          <w:rFonts w:ascii="Arial" w:hAnsi="Arial" w:cs="Arial"/>
          <w:sz w:val="24"/>
        </w:rPr>
        <w:t>traduisent l’ensoleillement.</w:t>
      </w:r>
    </w:p>
    <w:p w:rsidR="00176205" w:rsidRPr="003F77CC" w:rsidRDefault="00176205" w:rsidP="00176205">
      <w:pPr>
        <w:pStyle w:val="Paragraphedeliste"/>
        <w:rPr>
          <w:rFonts w:ascii="Arial" w:hAnsi="Arial" w:cs="Arial"/>
          <w:szCs w:val="20"/>
        </w:rPr>
      </w:pPr>
    </w:p>
    <w:p w:rsidR="00176205" w:rsidRPr="006F0E73" w:rsidRDefault="00176205" w:rsidP="00176205">
      <w:pPr>
        <w:pStyle w:val="Paragraphedeliste"/>
        <w:numPr>
          <w:ilvl w:val="0"/>
          <w:numId w:val="1"/>
        </w:numPr>
        <w:rPr>
          <w:rFonts w:ascii="Arial" w:hAnsi="Arial" w:cs="Arial"/>
          <w:szCs w:val="20"/>
        </w:rPr>
      </w:pPr>
      <w:r w:rsidRPr="006F0E73">
        <w:rPr>
          <w:rFonts w:ascii="Arial" w:hAnsi="Arial" w:cs="Arial"/>
          <w:sz w:val="24"/>
        </w:rPr>
        <w:t>Préciser l’ensemble des constituants (mod</w:t>
      </w:r>
      <w:r w:rsidR="00CB374D">
        <w:rPr>
          <w:rFonts w:ascii="Arial" w:hAnsi="Arial" w:cs="Arial"/>
          <w:sz w:val="24"/>
        </w:rPr>
        <w:t>e</w:t>
      </w:r>
      <w:r w:rsidRPr="006F0E73">
        <w:rPr>
          <w:rFonts w:ascii="Arial" w:hAnsi="Arial" w:cs="Arial"/>
          <w:sz w:val="24"/>
        </w:rPr>
        <w:t>le1_CE.psimsch) qui traduisent le soutirage d’eau chaud</w:t>
      </w:r>
      <w:r w:rsidR="00D30BC0">
        <w:rPr>
          <w:rFonts w:ascii="Arial" w:hAnsi="Arial" w:cs="Arial"/>
          <w:sz w:val="24"/>
        </w:rPr>
        <w:t>e</w:t>
      </w:r>
      <w:r w:rsidRPr="006F0E73">
        <w:rPr>
          <w:rFonts w:ascii="Arial" w:hAnsi="Arial" w:cs="Arial"/>
          <w:sz w:val="24"/>
        </w:rPr>
        <w:t xml:space="preserve">, puis compléter le document réponse en </w:t>
      </w:r>
      <w:r w:rsidR="00975312">
        <w:rPr>
          <w:rFonts w:ascii="Arial" w:hAnsi="Arial" w:cs="Arial"/>
          <w:sz w:val="24"/>
        </w:rPr>
        <w:t>consigna</w:t>
      </w:r>
      <w:r w:rsidRPr="006F0E73">
        <w:rPr>
          <w:rFonts w:ascii="Arial" w:hAnsi="Arial" w:cs="Arial"/>
          <w:sz w:val="24"/>
        </w:rPr>
        <w:t>nt dans les cadres l</w:t>
      </w:r>
      <w:r w:rsidR="00CB374D">
        <w:rPr>
          <w:rFonts w:ascii="Arial" w:hAnsi="Arial" w:cs="Arial"/>
          <w:sz w:val="24"/>
        </w:rPr>
        <w:t xml:space="preserve">es </w:t>
      </w:r>
      <w:r w:rsidRPr="006F0E73">
        <w:rPr>
          <w:rFonts w:ascii="Arial" w:hAnsi="Arial" w:cs="Arial"/>
          <w:sz w:val="24"/>
        </w:rPr>
        <w:t>équation</w:t>
      </w:r>
      <w:r w:rsidR="00CB374D">
        <w:rPr>
          <w:rFonts w:ascii="Arial" w:hAnsi="Arial" w:cs="Arial"/>
          <w:sz w:val="24"/>
        </w:rPr>
        <w:t>s</w:t>
      </w:r>
      <w:r w:rsidRPr="006F0E73">
        <w:rPr>
          <w:rFonts w:ascii="Arial" w:hAnsi="Arial" w:cs="Arial"/>
          <w:sz w:val="24"/>
        </w:rPr>
        <w:t xml:space="preserve"> de sortie de chaque bloc</w:t>
      </w:r>
      <w:r w:rsidR="006F0E73">
        <w:rPr>
          <w:rFonts w:ascii="Arial" w:hAnsi="Arial" w:cs="Arial"/>
          <w:sz w:val="24"/>
        </w:rPr>
        <w:t>.</w:t>
      </w:r>
    </w:p>
    <w:p w:rsidR="006F0E73" w:rsidRPr="006F0E73" w:rsidRDefault="006F0E73" w:rsidP="006F0E73">
      <w:pPr>
        <w:pStyle w:val="Paragraphedeliste"/>
        <w:ind w:left="360"/>
        <w:rPr>
          <w:rFonts w:ascii="Arial" w:hAnsi="Arial" w:cs="Arial"/>
          <w:szCs w:val="20"/>
        </w:rPr>
      </w:pPr>
    </w:p>
    <w:p w:rsidR="00176205" w:rsidRDefault="00176205" w:rsidP="00176205">
      <w:pPr>
        <w:pStyle w:val="Paragraphedeliste"/>
        <w:numPr>
          <w:ilvl w:val="0"/>
          <w:numId w:val="1"/>
        </w:numPr>
        <w:rPr>
          <w:rFonts w:ascii="Arial" w:hAnsi="Arial" w:cs="Arial"/>
          <w:sz w:val="24"/>
        </w:rPr>
      </w:pPr>
      <w:r w:rsidRPr="009770E3">
        <w:rPr>
          <w:rFonts w:ascii="Arial" w:hAnsi="Arial" w:cs="Arial"/>
          <w:sz w:val="24"/>
        </w:rPr>
        <w:t xml:space="preserve">Paramétrer le modèle </w:t>
      </w:r>
      <w:r>
        <w:rPr>
          <w:rFonts w:ascii="Arial" w:hAnsi="Arial" w:cs="Arial"/>
          <w:sz w:val="24"/>
        </w:rPr>
        <w:t>(mod</w:t>
      </w:r>
      <w:r w:rsidR="00CB374D">
        <w:rPr>
          <w:rFonts w:ascii="Arial" w:hAnsi="Arial" w:cs="Arial"/>
          <w:sz w:val="24"/>
        </w:rPr>
        <w:t>e</w:t>
      </w:r>
      <w:r>
        <w:rPr>
          <w:rFonts w:ascii="Arial" w:hAnsi="Arial" w:cs="Arial"/>
          <w:sz w:val="24"/>
        </w:rPr>
        <w:t xml:space="preserve">le1_CE.psimsch) </w:t>
      </w:r>
      <w:r w:rsidRPr="009770E3">
        <w:rPr>
          <w:rFonts w:ascii="Arial" w:hAnsi="Arial" w:cs="Arial"/>
          <w:sz w:val="24"/>
        </w:rPr>
        <w:t>afin de procéder à une simulatio</w:t>
      </w:r>
      <w:r w:rsidR="00CB6090">
        <w:rPr>
          <w:rFonts w:ascii="Arial" w:hAnsi="Arial" w:cs="Arial"/>
          <w:sz w:val="24"/>
        </w:rPr>
        <w:t>n relative à une excitation de type échelon (250 W) et sans puisage</w:t>
      </w:r>
      <w:r w:rsidR="00CB50DF">
        <w:rPr>
          <w:rFonts w:ascii="Arial" w:hAnsi="Arial" w:cs="Arial"/>
          <w:sz w:val="24"/>
        </w:rPr>
        <w:t xml:space="preserve"> avec une température initiale de l’eau stockée à 25 °C</w:t>
      </w:r>
      <w:r w:rsidRPr="009770E3">
        <w:rPr>
          <w:rFonts w:ascii="Arial" w:hAnsi="Arial" w:cs="Arial"/>
          <w:sz w:val="24"/>
        </w:rPr>
        <w:t>. Consigner l’allure de la t</w:t>
      </w:r>
      <w:r>
        <w:rPr>
          <w:rFonts w:ascii="Arial" w:hAnsi="Arial" w:cs="Arial"/>
          <w:sz w:val="24"/>
        </w:rPr>
        <w:t xml:space="preserve">empérature, puis conclure. </w:t>
      </w:r>
    </w:p>
    <w:p w:rsidR="00176205" w:rsidRPr="009770E3" w:rsidRDefault="00176205" w:rsidP="00176205">
      <w:pPr>
        <w:pStyle w:val="Paragraphedeliste"/>
        <w:rPr>
          <w:rFonts w:ascii="Arial" w:hAnsi="Arial" w:cs="Arial"/>
          <w:sz w:val="24"/>
        </w:rPr>
      </w:pPr>
    </w:p>
    <w:p w:rsidR="00176205" w:rsidRDefault="00176205" w:rsidP="00176205">
      <w:pPr>
        <w:pStyle w:val="Paragraphedeliste"/>
        <w:numPr>
          <w:ilvl w:val="0"/>
          <w:numId w:val="1"/>
        </w:numPr>
        <w:rPr>
          <w:rFonts w:ascii="Arial" w:hAnsi="Arial" w:cs="Arial"/>
          <w:sz w:val="24"/>
        </w:rPr>
      </w:pPr>
      <w:r w:rsidRPr="009770E3">
        <w:rPr>
          <w:rFonts w:ascii="Arial" w:hAnsi="Arial" w:cs="Arial"/>
          <w:sz w:val="24"/>
        </w:rPr>
        <w:t xml:space="preserve">Paramétrer le modèle </w:t>
      </w:r>
      <w:r>
        <w:rPr>
          <w:rFonts w:ascii="Arial" w:hAnsi="Arial" w:cs="Arial"/>
          <w:sz w:val="24"/>
        </w:rPr>
        <w:t>(mod</w:t>
      </w:r>
      <w:r w:rsidR="00CB374D">
        <w:rPr>
          <w:rFonts w:ascii="Arial" w:hAnsi="Arial" w:cs="Arial"/>
          <w:sz w:val="24"/>
        </w:rPr>
        <w:t>e</w:t>
      </w:r>
      <w:r>
        <w:rPr>
          <w:rFonts w:ascii="Arial" w:hAnsi="Arial" w:cs="Arial"/>
          <w:sz w:val="24"/>
        </w:rPr>
        <w:t xml:space="preserve">le1_CE.psimsch) </w:t>
      </w:r>
      <w:r w:rsidRPr="009770E3">
        <w:rPr>
          <w:rFonts w:ascii="Arial" w:hAnsi="Arial" w:cs="Arial"/>
          <w:sz w:val="24"/>
        </w:rPr>
        <w:t>afin de procéder à une simulatio</w:t>
      </w:r>
      <w:r w:rsidR="00CB6090">
        <w:rPr>
          <w:rFonts w:ascii="Arial" w:hAnsi="Arial" w:cs="Arial"/>
          <w:sz w:val="24"/>
        </w:rPr>
        <w:t>n sans puisage et sans flux solaire avec une température initiale de 60 °C</w:t>
      </w:r>
      <w:r w:rsidRPr="009770E3">
        <w:rPr>
          <w:rFonts w:ascii="Arial" w:hAnsi="Arial" w:cs="Arial"/>
          <w:sz w:val="24"/>
        </w:rPr>
        <w:t>. Consigner l’allure de la température, puis conclure.</w:t>
      </w:r>
    </w:p>
    <w:p w:rsidR="00176205" w:rsidRDefault="00176205" w:rsidP="00176205">
      <w:pPr>
        <w:pStyle w:val="Paragraphedeliste"/>
        <w:rPr>
          <w:rFonts w:ascii="Arial" w:hAnsi="Arial" w:cs="Arial"/>
          <w:sz w:val="24"/>
        </w:rPr>
      </w:pPr>
    </w:p>
    <w:p w:rsidR="00176205" w:rsidRPr="006F0E73" w:rsidRDefault="00176205" w:rsidP="00176205">
      <w:pPr>
        <w:pStyle w:val="Paragraphedeliste"/>
        <w:numPr>
          <w:ilvl w:val="0"/>
          <w:numId w:val="1"/>
        </w:numPr>
        <w:rPr>
          <w:rFonts w:ascii="Arial" w:hAnsi="Arial" w:cs="Arial"/>
          <w:sz w:val="24"/>
        </w:rPr>
      </w:pPr>
      <w:r w:rsidRPr="006F0E73">
        <w:rPr>
          <w:rFonts w:ascii="Arial" w:hAnsi="Arial" w:cs="Arial"/>
          <w:sz w:val="24"/>
        </w:rPr>
        <w:t>On utilise maintenant le modèle 2 (modele2_CE.psimsch).</w:t>
      </w:r>
      <w:r w:rsidR="006F0E73">
        <w:rPr>
          <w:rFonts w:ascii="Arial" w:hAnsi="Arial" w:cs="Arial"/>
          <w:sz w:val="24"/>
        </w:rPr>
        <w:t xml:space="preserve"> </w:t>
      </w:r>
      <w:r w:rsidR="006F0E73" w:rsidRPr="006F0E73">
        <w:rPr>
          <w:rFonts w:ascii="Arial" w:hAnsi="Arial" w:cs="Arial"/>
          <w:sz w:val="24"/>
        </w:rPr>
        <w:t>Préciser comm</w:t>
      </w:r>
      <w:r w:rsidR="00306376">
        <w:rPr>
          <w:rFonts w:ascii="Arial" w:hAnsi="Arial" w:cs="Arial"/>
          <w:sz w:val="24"/>
        </w:rPr>
        <w:t xml:space="preserve">ent est élaboré le flux solaire </w:t>
      </w:r>
      <w:r w:rsidR="006F0E73" w:rsidRPr="006F0E73">
        <w:rPr>
          <w:rFonts w:ascii="Arial" w:hAnsi="Arial" w:cs="Arial"/>
          <w:sz w:val="24"/>
        </w:rPr>
        <w:t>issu des</w:t>
      </w:r>
      <w:r w:rsidR="00306376">
        <w:rPr>
          <w:rFonts w:ascii="Arial" w:hAnsi="Arial" w:cs="Arial"/>
          <w:sz w:val="24"/>
        </w:rPr>
        <w:t xml:space="preserve"> </w:t>
      </w:r>
      <w:r w:rsidR="00306376" w:rsidRPr="006F0E73">
        <w:rPr>
          <w:rFonts w:ascii="Arial" w:hAnsi="Arial" w:cs="Arial"/>
          <w:sz w:val="24"/>
        </w:rPr>
        <w:t>capteurs</w:t>
      </w:r>
      <w:r w:rsidR="00306376">
        <w:rPr>
          <w:rFonts w:ascii="Arial" w:hAnsi="Arial" w:cs="Arial"/>
          <w:sz w:val="24"/>
        </w:rPr>
        <w:t xml:space="preserve"> </w:t>
      </w:r>
      <w:r w:rsidR="00306376" w:rsidRPr="006F0E73">
        <w:rPr>
          <w:rFonts w:ascii="Arial" w:hAnsi="Arial" w:cs="Arial"/>
          <w:sz w:val="24"/>
        </w:rPr>
        <w:t>solaires.</w:t>
      </w:r>
      <w:r w:rsidR="00306376">
        <w:rPr>
          <w:rFonts w:ascii="Arial" w:hAnsi="Arial" w:cs="Arial"/>
          <w:sz w:val="24"/>
        </w:rPr>
        <w:t xml:space="preserve"> </w:t>
      </w:r>
      <w:r w:rsidRPr="006F0E73">
        <w:rPr>
          <w:rFonts w:ascii="Arial" w:hAnsi="Arial" w:cs="Arial"/>
          <w:sz w:val="24"/>
        </w:rPr>
        <w:t>Paramétrer le générateur d’ensole</w:t>
      </w:r>
      <w:r w:rsidR="00D612A8" w:rsidRPr="006F0E73">
        <w:rPr>
          <w:rFonts w:ascii="Arial" w:hAnsi="Arial" w:cs="Arial"/>
          <w:sz w:val="24"/>
        </w:rPr>
        <w:t>illement avec une amplitude de 628</w:t>
      </w:r>
      <w:r w:rsidRPr="006F0E73">
        <w:rPr>
          <w:rFonts w:ascii="Arial" w:hAnsi="Arial" w:cs="Arial"/>
          <w:sz w:val="24"/>
        </w:rPr>
        <w:t xml:space="preserve">, le débit à 0,1 </w:t>
      </w:r>
      <w:r w:rsidR="006F0E73">
        <w:rPr>
          <w:rFonts w:ascii="Arial" w:hAnsi="Arial" w:cs="Arial"/>
          <w:sz w:val="24"/>
        </w:rPr>
        <w:t xml:space="preserve">puis procéder à une simulation. </w:t>
      </w:r>
      <w:r w:rsidRPr="006F0E73">
        <w:rPr>
          <w:rFonts w:ascii="Arial" w:hAnsi="Arial" w:cs="Arial"/>
          <w:sz w:val="24"/>
        </w:rPr>
        <w:t>Recenser les différences entre ce modèle et le modèle précédent. Consigner les grandeurs qui vous semblent les plus pertinentes et analyser leurs évolutions. Critiquer le paramétrage de ce modèle notamment concernant l’utilisation de l’eau chaude.</w:t>
      </w:r>
    </w:p>
    <w:p w:rsidR="00176205" w:rsidRPr="009D31DF" w:rsidRDefault="00176205" w:rsidP="00176205">
      <w:pPr>
        <w:pStyle w:val="Paragraphedeliste"/>
        <w:rPr>
          <w:rFonts w:ascii="Arial" w:hAnsi="Arial" w:cs="Arial"/>
          <w:sz w:val="24"/>
        </w:rPr>
      </w:pPr>
    </w:p>
    <w:p w:rsidR="00176205" w:rsidRPr="009D31DF" w:rsidRDefault="00176205" w:rsidP="00176205">
      <w:pPr>
        <w:pStyle w:val="Paragraphedeliste"/>
        <w:numPr>
          <w:ilvl w:val="0"/>
          <w:numId w:val="1"/>
        </w:numPr>
        <w:rPr>
          <w:rFonts w:ascii="Arial" w:hAnsi="Arial" w:cs="Arial"/>
          <w:sz w:val="24"/>
        </w:rPr>
      </w:pPr>
      <w:r w:rsidRPr="009D31DF">
        <w:rPr>
          <w:rFonts w:ascii="Arial" w:hAnsi="Arial" w:cs="Arial"/>
          <w:sz w:val="24"/>
        </w:rPr>
        <w:t xml:space="preserve">En vous en appuyant sur le relevé des différentes grandeurs issues de la simulation du fichier </w:t>
      </w:r>
      <w:proofErr w:type="spellStart"/>
      <w:r w:rsidRPr="009D31DF">
        <w:rPr>
          <w:rFonts w:ascii="Arial" w:hAnsi="Arial" w:cs="Arial"/>
          <w:sz w:val="24"/>
        </w:rPr>
        <w:t>Commande_chauffage_electrique.psimsch</w:t>
      </w:r>
      <w:proofErr w:type="spellEnd"/>
      <w:r w:rsidRPr="009D31DF">
        <w:rPr>
          <w:rFonts w:ascii="Arial" w:hAnsi="Arial" w:cs="Arial"/>
          <w:sz w:val="24"/>
        </w:rPr>
        <w:t>, compléter la fonction de transfert du circuit de commande du document réponse.</w:t>
      </w:r>
    </w:p>
    <w:p w:rsidR="00176205" w:rsidRPr="004A568B" w:rsidRDefault="00176205" w:rsidP="00176205">
      <w:pPr>
        <w:pStyle w:val="Paragraphedeliste"/>
        <w:rPr>
          <w:rFonts w:ascii="Arial" w:hAnsi="Arial" w:cs="Arial"/>
          <w:sz w:val="24"/>
        </w:rPr>
      </w:pPr>
    </w:p>
    <w:p w:rsidR="00176205" w:rsidRPr="004A568B" w:rsidRDefault="00176205" w:rsidP="00176205">
      <w:pPr>
        <w:pStyle w:val="Paragraphedeliste"/>
        <w:numPr>
          <w:ilvl w:val="0"/>
          <w:numId w:val="1"/>
        </w:numPr>
        <w:rPr>
          <w:rFonts w:ascii="Arial" w:hAnsi="Arial" w:cs="Arial"/>
          <w:sz w:val="24"/>
        </w:rPr>
      </w:pPr>
      <w:r w:rsidRPr="004A568B">
        <w:rPr>
          <w:rFonts w:ascii="Arial" w:hAnsi="Arial" w:cs="Arial"/>
          <w:sz w:val="24"/>
        </w:rPr>
        <w:lastRenderedPageBreak/>
        <w:t>Ouvrir le modèle 3 et identifier les éléments qui concourent à réaliser le flux de puissance électrique. Préciser à partir de quel</w:t>
      </w:r>
      <w:r w:rsidR="002A5D2A">
        <w:rPr>
          <w:rFonts w:ascii="Arial" w:hAnsi="Arial" w:cs="Arial"/>
          <w:sz w:val="24"/>
        </w:rPr>
        <w:t>le</w:t>
      </w:r>
      <w:r w:rsidRPr="004A568B">
        <w:rPr>
          <w:rFonts w:ascii="Arial" w:hAnsi="Arial" w:cs="Arial"/>
          <w:sz w:val="24"/>
        </w:rPr>
        <w:t xml:space="preserve"> température on coupe le chauffage et à partir de quelle température on remet le chauffage</w:t>
      </w:r>
      <w:r w:rsidR="00CB374D">
        <w:rPr>
          <w:rFonts w:ascii="Arial" w:hAnsi="Arial" w:cs="Arial"/>
          <w:sz w:val="24"/>
        </w:rPr>
        <w:t> ?</w:t>
      </w:r>
      <w:r w:rsidRPr="004A568B">
        <w:rPr>
          <w:rFonts w:ascii="Arial" w:hAnsi="Arial" w:cs="Arial"/>
          <w:sz w:val="24"/>
        </w:rPr>
        <w:t xml:space="preserve"> Justifier les éléments de la modélisation qui interviennent dans l’élaboration de la grandeur </w:t>
      </w:r>
      <w:proofErr w:type="spellStart"/>
      <w:r w:rsidRPr="004A568B">
        <w:rPr>
          <w:rFonts w:ascii="Arial" w:hAnsi="Arial" w:cs="Arial"/>
          <w:sz w:val="24"/>
        </w:rPr>
        <w:t>energie_kWh</w:t>
      </w:r>
      <w:proofErr w:type="spellEnd"/>
      <w:r w:rsidRPr="004A568B">
        <w:rPr>
          <w:rFonts w:ascii="Arial" w:hAnsi="Arial" w:cs="Arial"/>
          <w:sz w:val="24"/>
        </w:rPr>
        <w:t xml:space="preserve">. Relever l’évolution de la grandeur </w:t>
      </w:r>
      <w:proofErr w:type="spellStart"/>
      <w:r w:rsidRPr="004A568B">
        <w:rPr>
          <w:rFonts w:ascii="Arial" w:hAnsi="Arial" w:cs="Arial"/>
          <w:sz w:val="24"/>
        </w:rPr>
        <w:t>energie_kWh</w:t>
      </w:r>
      <w:proofErr w:type="spellEnd"/>
      <w:r w:rsidRPr="004A568B">
        <w:rPr>
          <w:rFonts w:ascii="Arial" w:hAnsi="Arial" w:cs="Arial"/>
          <w:sz w:val="24"/>
        </w:rPr>
        <w:t xml:space="preserve">, justifier l’allure de la courbe. </w:t>
      </w:r>
    </w:p>
    <w:p w:rsidR="00176205" w:rsidRPr="00B312DE" w:rsidRDefault="00176205" w:rsidP="00176205">
      <w:pPr>
        <w:pStyle w:val="Paragraphedeliste"/>
        <w:rPr>
          <w:rFonts w:ascii="Arial" w:hAnsi="Arial" w:cs="Arial"/>
          <w:sz w:val="24"/>
        </w:rPr>
      </w:pPr>
    </w:p>
    <w:p w:rsidR="00875735" w:rsidRPr="00CB374D" w:rsidRDefault="00176205" w:rsidP="00D612A8">
      <w:pPr>
        <w:pStyle w:val="Paragraphedeliste"/>
        <w:numPr>
          <w:ilvl w:val="0"/>
          <w:numId w:val="1"/>
        </w:numPr>
      </w:pPr>
      <w:r w:rsidRPr="00D612A8">
        <w:rPr>
          <w:rFonts w:ascii="Arial" w:hAnsi="Arial" w:cs="Arial"/>
          <w:sz w:val="24"/>
        </w:rPr>
        <w:t>Régler la température basse à 55 °C et la température haute à 60 °C. Relever la valeur cumulée de l’énergie sur le 365</w:t>
      </w:r>
      <w:r w:rsidRPr="00D612A8">
        <w:rPr>
          <w:rFonts w:ascii="Arial" w:hAnsi="Arial" w:cs="Arial"/>
          <w:sz w:val="24"/>
          <w:vertAlign w:val="superscript"/>
        </w:rPr>
        <w:t>e</w:t>
      </w:r>
      <w:r w:rsidRPr="00D612A8">
        <w:rPr>
          <w:rFonts w:ascii="Arial" w:hAnsi="Arial" w:cs="Arial"/>
          <w:sz w:val="24"/>
        </w:rPr>
        <w:t xml:space="preserve"> jour de l’année. Justifier l’intérêt du chauffe-eau solaire par rapport au chauffe-eau électrique sachant que 1 kWh électrique coûte environ 15 centimes d’euro et que l’achat plus la pose d’un </w:t>
      </w:r>
      <w:r w:rsidR="00D30BC0">
        <w:rPr>
          <w:rFonts w:ascii="Arial" w:hAnsi="Arial" w:cs="Arial"/>
          <w:sz w:val="24"/>
        </w:rPr>
        <w:t>chauffe-eau solaire (</w:t>
      </w:r>
      <w:r w:rsidRPr="00D612A8">
        <w:rPr>
          <w:rFonts w:ascii="Arial" w:hAnsi="Arial" w:cs="Arial"/>
          <w:sz w:val="24"/>
        </w:rPr>
        <w:t>à usage équivalent)</w:t>
      </w:r>
      <w:r w:rsidR="003F77CC">
        <w:rPr>
          <w:rFonts w:ascii="Arial" w:hAnsi="Arial" w:cs="Arial"/>
          <w:sz w:val="24"/>
        </w:rPr>
        <w:t xml:space="preserve"> coûte environ  </w:t>
      </w:r>
      <w:r w:rsidRPr="00D612A8">
        <w:rPr>
          <w:rFonts w:ascii="Arial" w:hAnsi="Arial" w:cs="Arial"/>
          <w:sz w:val="24"/>
        </w:rPr>
        <w:t>000 euros (prime « agir plus » d’EDF incluse à la Réunion). Faire une simulation avec un réglage en 60 °C et 65 °C de la commande, puis conclure.</w:t>
      </w:r>
    </w:p>
    <w:p w:rsidR="00CB374D" w:rsidRDefault="00CB374D" w:rsidP="00CB374D">
      <w:pPr>
        <w:pStyle w:val="Paragraphedeliste"/>
      </w:pPr>
    </w:p>
    <w:p w:rsidR="00CB374D" w:rsidRDefault="00CB374D" w:rsidP="00CB374D"/>
    <w:p w:rsidR="00CB374D" w:rsidRDefault="00CB374D">
      <w:pPr>
        <w:spacing w:before="100" w:beforeAutospacing="1" w:after="100" w:afterAutospacing="1"/>
      </w:pPr>
      <w:r>
        <w:br w:type="page"/>
      </w:r>
    </w:p>
    <w:p w:rsidR="00CB374D" w:rsidRPr="007B185C" w:rsidRDefault="00CB374D" w:rsidP="00CB374D">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r w:rsidRPr="007B185C">
        <w:rPr>
          <w:rFonts w:ascii="Arial" w:hAnsi="Arial" w:cs="Arial"/>
          <w:sz w:val="32"/>
          <w:szCs w:val="32"/>
        </w:rPr>
        <w:lastRenderedPageBreak/>
        <w:t>Document réponse</w:t>
      </w:r>
    </w:p>
    <w:p w:rsidR="00CB374D" w:rsidRDefault="00CB374D" w:rsidP="00CB374D"/>
    <w:p w:rsidR="00CB374D" w:rsidRPr="007B185C" w:rsidRDefault="00CB374D" w:rsidP="00CB374D">
      <w:pPr>
        <w:rPr>
          <w:rFonts w:ascii="Arial" w:hAnsi="Arial" w:cs="Arial"/>
          <w:b/>
          <w:sz w:val="24"/>
        </w:rPr>
      </w:pPr>
      <w:r>
        <w:rPr>
          <w:rFonts w:ascii="Arial" w:hAnsi="Arial" w:cs="Arial"/>
          <w:b/>
          <w:sz w:val="24"/>
        </w:rPr>
        <w:t xml:space="preserve">1.2 </w:t>
      </w:r>
      <w:r w:rsidRPr="007B185C">
        <w:rPr>
          <w:rFonts w:ascii="Arial" w:hAnsi="Arial" w:cs="Arial"/>
          <w:b/>
          <w:sz w:val="24"/>
        </w:rPr>
        <w:t>Schéma d’élaboration du flux de soutirage :</w:t>
      </w:r>
    </w:p>
    <w:p w:rsidR="00CB374D" w:rsidRDefault="00AC4667" w:rsidP="00CB374D">
      <w:r>
        <w:rPr>
          <w:noProof/>
        </w:rPr>
        <w:pict w14:anchorId="31F63A97">
          <v:shapetype id="_x0000_t202" coordsize="21600,21600" o:spt="202" path="m,l,21600r21600,l21600,xe">
            <v:stroke joinstyle="miter"/>
            <v:path gradientshapeok="t" o:connecttype="rect"/>
          </v:shapetype>
          <v:shape id="_x0000_s1041" type="#_x0000_t202" alt="" style="position:absolute;left:0;text-align:left;margin-left:71.65pt;margin-top:6.55pt;width:43.9pt;height:27.7pt;z-index:251664384;mso-wrap-style:square;mso-wrap-edited:f;mso-width-percent:0;mso-height-percent:0;mso-width-percent:0;mso-height-percent:0;v-text-anchor:top">
            <v:textbox style="mso-next-textbox:#_x0000_s1041">
              <w:txbxContent>
                <w:p w:rsidR="00CB374D" w:rsidRDefault="00CB374D" w:rsidP="00CB374D">
                  <w:r>
                    <w:t>………..</w:t>
                  </w:r>
                </w:p>
              </w:txbxContent>
            </v:textbox>
          </v:shape>
        </w:pict>
      </w:r>
    </w:p>
    <w:p w:rsidR="00CB374D" w:rsidRDefault="00AC4667" w:rsidP="00CB374D">
      <w:r>
        <w:rPr>
          <w:noProof/>
        </w:rPr>
        <w:pict w14:anchorId="0218F3B0">
          <v:shape id="_x0000_s1040" type="#_x0000_t202" alt="" style="position:absolute;left:0;text-align:left;margin-left:156.4pt;margin-top:80.45pt;width:74.4pt;height:27.7pt;z-index:251662336;mso-wrap-style:square;mso-wrap-edited:f;mso-width-percent:0;mso-height-percent:0;mso-width-percent:0;mso-height-percent:0;v-text-anchor:top">
            <v:textbox style="mso-next-textbox:#_x0000_s1040">
              <w:txbxContent>
                <w:p w:rsidR="00CB374D" w:rsidRDefault="00CB374D" w:rsidP="00CB374D">
                  <w:r>
                    <w:t>…………………..</w:t>
                  </w:r>
                </w:p>
              </w:txbxContent>
            </v:textbox>
          </v:shape>
        </w:pict>
      </w:r>
      <w:r>
        <w:rPr>
          <w:noProof/>
        </w:rPr>
        <w:pict w14:anchorId="235DA357">
          <v:shape id="_x0000_s1039" type="#_x0000_t202" alt="" style="position:absolute;left:0;text-align:left;margin-left:13.25pt;margin-top:92.85pt;width:79.4pt;height:27.7pt;z-index:251663360;mso-wrap-style:square;mso-wrap-edited:f;mso-width-percent:0;mso-height-percent:0;mso-width-percent:0;mso-height-percent:0;v-text-anchor:top">
            <v:textbox style="mso-next-textbox:#_x0000_s1039">
              <w:txbxContent>
                <w:p w:rsidR="00CB374D" w:rsidRDefault="00CB374D" w:rsidP="00CB374D">
                  <w:r>
                    <w:t>…………………….</w:t>
                  </w:r>
                </w:p>
              </w:txbxContent>
            </v:textbox>
          </v:shape>
        </w:pict>
      </w:r>
      <w:r>
        <w:rPr>
          <w:noProof/>
        </w:rPr>
        <w:pict w14:anchorId="499E2C6E">
          <v:shape id="_x0000_s1038" type="#_x0000_t202" alt="" style="position:absolute;left:0;text-align:left;margin-left:142.5pt;margin-top:14.1pt;width:56.65pt;height:27.7pt;z-index:251661312;mso-wrap-style:square;mso-wrap-edited:f;mso-width-percent:0;mso-height-percent:0;mso-width-percent:0;mso-height-percent:0;v-text-anchor:top">
            <v:textbox style="mso-next-textbox:#_x0000_s1038">
              <w:txbxContent>
                <w:p w:rsidR="00CB374D" w:rsidRDefault="00CB374D" w:rsidP="00CB374D">
                  <w:r>
                    <w:t>……………..</w:t>
                  </w:r>
                </w:p>
              </w:txbxContent>
            </v:textbox>
          </v:shape>
        </w:pict>
      </w:r>
      <w:r>
        <w:rPr>
          <w:noProof/>
        </w:rPr>
        <w:pict w14:anchorId="35046F54">
          <v:shape id="_x0000_s1037" type="#_x0000_t202" alt="" style="position:absolute;left:0;text-align:left;margin-left:326.65pt;margin-top:124.35pt;width:56.65pt;height:27.7pt;z-index:251660288;mso-wrap-style:square;mso-wrap-edited:f;mso-width-percent:0;mso-height-percent:0;mso-width-percent:0;mso-height-percent:0;v-text-anchor:top">
            <v:textbox style="mso-next-textbox:#_x0000_s1037">
              <w:txbxContent>
                <w:p w:rsidR="00CB374D" w:rsidRDefault="00CB374D" w:rsidP="00CB374D">
                  <w:r>
                    <w:t>…………..</w:t>
                  </w:r>
                </w:p>
              </w:txbxContent>
            </v:textbox>
          </v:shape>
        </w:pict>
      </w:r>
      <w:r>
        <w:rPr>
          <w:noProof/>
        </w:rPr>
        <w:pict w14:anchorId="71D666AF">
          <v:shape id="_x0000_s1036" type="#_x0000_t202" alt="" style="position:absolute;left:0;text-align:left;margin-left:331.15pt;margin-top:224.85pt;width:56.65pt;height:27.7pt;z-index:251659264;mso-wrap-style:square;mso-wrap-edited:f;mso-width-percent:0;mso-height-percent:0;mso-width-percent:0;mso-height-percent:0;v-text-anchor:top">
            <v:textbox style="mso-next-textbox:#_x0000_s1036">
              <w:txbxContent>
                <w:p w:rsidR="00CB374D" w:rsidRDefault="00CB374D" w:rsidP="00CB374D">
                  <w:r>
                    <w:t>…………..</w:t>
                  </w:r>
                </w:p>
              </w:txbxContent>
            </v:textbox>
          </v:shape>
        </w:pict>
      </w:r>
      <w:r w:rsidR="00CB374D">
        <w:rPr>
          <w:noProof/>
        </w:rPr>
        <w:drawing>
          <wp:inline distT="0" distB="0" distL="0" distR="0" wp14:anchorId="0E5C5C4A" wp14:editId="084D3863">
            <wp:extent cx="4114800" cy="388620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14800" cy="3886200"/>
                    </a:xfrm>
                    <a:prstGeom prst="rect">
                      <a:avLst/>
                    </a:prstGeom>
                    <a:noFill/>
                    <a:ln w="9525">
                      <a:noFill/>
                      <a:miter lim="800000"/>
                      <a:headEnd/>
                      <a:tailEnd/>
                    </a:ln>
                  </pic:spPr>
                </pic:pic>
              </a:graphicData>
            </a:graphic>
          </wp:inline>
        </w:drawing>
      </w:r>
    </w:p>
    <w:p w:rsidR="00CB374D" w:rsidRDefault="00CB374D" w:rsidP="00CB374D"/>
    <w:p w:rsidR="00CB374D" w:rsidRPr="009F3CAD" w:rsidRDefault="00AC4667" w:rsidP="00CB374D">
      <w:pPr>
        <w:rPr>
          <w:rFonts w:ascii="Arial" w:hAnsi="Arial" w:cs="Arial"/>
          <w:b/>
          <w:sz w:val="24"/>
        </w:rPr>
      </w:pPr>
      <w:r>
        <w:rPr>
          <w:rFonts w:ascii="Arial" w:hAnsi="Arial" w:cs="Arial"/>
          <w:b/>
          <w:noProof/>
          <w:sz w:val="24"/>
        </w:rPr>
        <w:pict w14:anchorId="1578D59B">
          <v:rect id="_x0000_s1035" alt="" style="position:absolute;left:0;text-align:left;margin-left:40.9pt;margin-top:16.75pt;width:74.65pt;height:21.6pt;z-index:251668480;mso-wrap-style:square;mso-wrap-edited:f;mso-width-percent:0;mso-height-percent:0;mso-width-percent:0;mso-height-percent:0;v-text-anchor:top" filled="f" stroked="f">
            <v:textbox>
              <w:txbxContent>
                <w:p w:rsidR="00CB374D" w:rsidRPr="00714CF9" w:rsidRDefault="00CB374D" w:rsidP="00CB374D">
                  <w:pPr>
                    <w:rPr>
                      <w:vertAlign w:val="subscript"/>
                    </w:rPr>
                  </w:pPr>
                  <w:r>
                    <w:t>Commande</w:t>
                  </w:r>
                </w:p>
              </w:txbxContent>
            </v:textbox>
          </v:rect>
        </w:pict>
      </w:r>
      <w:r w:rsidR="00CB374D" w:rsidRPr="009F3CAD">
        <w:rPr>
          <w:rFonts w:ascii="Arial" w:hAnsi="Arial" w:cs="Arial"/>
          <w:b/>
          <w:sz w:val="24"/>
        </w:rPr>
        <w:t>1.6 Fonction de transfert Commande =  f( T</w:t>
      </w:r>
      <w:r w:rsidR="00CB374D" w:rsidRPr="009F3CAD">
        <w:rPr>
          <w:rFonts w:ascii="Arial" w:hAnsi="Arial" w:cs="Arial"/>
          <w:b/>
          <w:sz w:val="24"/>
          <w:vertAlign w:val="subscript"/>
        </w:rPr>
        <w:t>ec</w:t>
      </w:r>
      <w:r w:rsidR="00CB374D" w:rsidRPr="009F3CAD">
        <w:rPr>
          <w:rFonts w:ascii="Arial" w:hAnsi="Arial" w:cs="Arial"/>
          <w:b/>
          <w:sz w:val="24"/>
        </w:rPr>
        <w:t xml:space="preserve">) : </w:t>
      </w:r>
    </w:p>
    <w:p w:rsidR="00CB374D" w:rsidRDefault="00AC4667" w:rsidP="00CB374D">
      <w:r>
        <w:rPr>
          <w:noProof/>
        </w:rPr>
        <w:pict w14:anchorId="4907A0DF">
          <v:rect id="_x0000_s1034" alt="" style="position:absolute;left:0;text-align:left;margin-left:84.5pt;margin-top:19.65pt;width:24.25pt;height:21.6pt;z-index:251671552;mso-wrap-style:square;mso-wrap-edited:f;mso-width-percent:0;mso-height-percent:0;mso-width-percent:0;mso-height-percent:0;v-text-anchor:top" filled="f" stroked="f">
            <v:textbox>
              <w:txbxContent>
                <w:p w:rsidR="00CB374D" w:rsidRPr="00714CF9" w:rsidRDefault="00CB374D" w:rsidP="00CB374D">
                  <w:pPr>
                    <w:rPr>
                      <w:vertAlign w:val="subscript"/>
                    </w:rPr>
                  </w:pPr>
                  <w:r>
                    <w:t>1</w:t>
                  </w:r>
                </w:p>
              </w:txbxContent>
            </v:textbox>
          </v:rect>
        </w:pict>
      </w:r>
      <w:r>
        <w:rPr>
          <w:noProof/>
        </w:rPr>
        <w:pict w14:anchorId="3213E6A7">
          <v:shapetype id="_x0000_t32" coordsize="21600,21600" o:spt="32" o:oned="t" path="m,l21600,21600e" filled="f">
            <v:path arrowok="t" fillok="f" o:connecttype="none"/>
            <o:lock v:ext="edit" shapetype="t"/>
          </v:shapetype>
          <v:shape id="_x0000_s1033" type="#_x0000_t32" alt="" style="position:absolute;left:0;text-align:left;margin-left:115.55pt;margin-top:4.4pt;width:0;height:161.25pt;flip:y;z-index:251665408;mso-wrap-edited:f;mso-width-percent:0;mso-height-percent:0;mso-width-percent:0;mso-height-percent:0" o:connectortype="straight">
            <v:stroke endarrow="block"/>
          </v:shape>
        </w:pict>
      </w:r>
    </w:p>
    <w:p w:rsidR="00CB374D" w:rsidRPr="00714CF9" w:rsidRDefault="00AC4667" w:rsidP="00CB374D">
      <w:r>
        <w:rPr>
          <w:noProof/>
        </w:rPr>
        <w:pict w14:anchorId="30B343E1">
          <v:rect id="_x0000_s1032" alt="" style="position:absolute;left:0;text-align:left;margin-left:312.15pt;margin-top:141.25pt;width:74.45pt;height:21.6pt;z-index:251674624;mso-wrap-style:square;mso-wrap-edited:f;mso-width-percent:0;mso-height-percent:0;mso-width-percent:0;mso-height-percent:0;v-text-anchor:top" filled="f" stroked="f">
            <v:textbox>
              <w:txbxContent>
                <w:p w:rsidR="00CB374D" w:rsidRPr="00714CF9" w:rsidRDefault="00CB374D" w:rsidP="00CB374D">
                  <w:proofErr w:type="spellStart"/>
                  <w:r>
                    <w:t>Temp_haute</w:t>
                  </w:r>
                  <w:proofErr w:type="spellEnd"/>
                </w:p>
              </w:txbxContent>
            </v:textbox>
          </v:rect>
        </w:pict>
      </w:r>
      <w:r>
        <w:rPr>
          <w:noProof/>
        </w:rPr>
        <w:pict w14:anchorId="733B106E">
          <v:rect id="_x0000_s1031" alt="" style="position:absolute;left:0;text-align:left;margin-left:236.75pt;margin-top:141.25pt;width:74.45pt;height:21.6pt;z-index:251673600;mso-wrap-style:square;mso-wrap-edited:f;mso-width-percent:0;mso-height-percent:0;mso-width-percent:0;mso-height-percent:0;v-text-anchor:top" filled="f" stroked="f">
            <v:textbox>
              <w:txbxContent>
                <w:p w:rsidR="00CB374D" w:rsidRPr="00714CF9" w:rsidRDefault="00CB374D" w:rsidP="00CB374D">
                  <w:proofErr w:type="spellStart"/>
                  <w:r>
                    <w:t>Temp_basse</w:t>
                  </w:r>
                  <w:proofErr w:type="spellEnd"/>
                </w:p>
              </w:txbxContent>
            </v:textbox>
          </v:rect>
        </w:pict>
      </w:r>
      <w:r>
        <w:rPr>
          <w:noProof/>
        </w:rPr>
        <w:pict w14:anchorId="599D1636">
          <v:shape id="_x0000_s1030" type="#_x0000_t32" alt="" style="position:absolute;left:0;text-align:left;margin-left:348.75pt;margin-top:122.9pt;width:0;height:12.4pt;rotation:90;z-index:251672576;mso-wrap-edited:f;mso-width-percent:0;mso-height-percent:0;mso-width-percent:0;mso-height-percent:0" o:connectortype="straight"/>
        </w:pict>
      </w:r>
      <w:r>
        <w:rPr>
          <w:noProof/>
        </w:rPr>
        <w:pict w14:anchorId="514A1CAE">
          <v:shape id="_x0000_s1029" type="#_x0000_t32" alt="" style="position:absolute;left:0;text-align:left;margin-left:273.6pt;margin-top:122.9pt;width:0;height:12.4pt;rotation:90;z-index:251670528;mso-wrap-edited:f;mso-width-percent:0;mso-height-percent:0;mso-width-percent:0;mso-height-percent:0" o:connectortype="straight"/>
        </w:pict>
      </w:r>
      <w:r>
        <w:rPr>
          <w:noProof/>
        </w:rPr>
        <w:pict w14:anchorId="2B8DACCC">
          <v:shape id="_x0000_s1028" type="#_x0000_t32" alt="" style="position:absolute;left:0;text-align:left;margin-left:108.75pt;margin-top:11.95pt;width:12.4pt;height:0;z-index:251669504;mso-wrap-edited:f;mso-width-percent:0;mso-height-percent:0;mso-width-percent:0;mso-height-percent:0" o:connectortype="straight"/>
        </w:pict>
      </w:r>
      <w:r>
        <w:rPr>
          <w:noProof/>
        </w:rPr>
        <w:pict w14:anchorId="04E6E271">
          <v:rect id="_x0000_s1027" alt="" style="position:absolute;left:0;text-align:left;margin-left:401.45pt;margin-top:138.1pt;width:31.75pt;height:21.6pt;z-index:251667456;mso-wrap-style:square;mso-wrap-edited:f;mso-width-percent:0;mso-height-percent:0;mso-width-percent:0;mso-height-percent:0;v-text-anchor:top" filled="f" stroked="f">
            <v:textbox>
              <w:txbxContent>
                <w:p w:rsidR="00CB374D" w:rsidRPr="00714CF9" w:rsidRDefault="00CB374D" w:rsidP="00CB374D">
                  <w:pPr>
                    <w:rPr>
                      <w:vertAlign w:val="subscript"/>
                    </w:rPr>
                  </w:pPr>
                  <w:r>
                    <w:t>T</w:t>
                  </w:r>
                  <w:r w:rsidRPr="00714CF9">
                    <w:rPr>
                      <w:vertAlign w:val="subscript"/>
                    </w:rPr>
                    <w:t>ec</w:t>
                  </w:r>
                </w:p>
              </w:txbxContent>
            </v:textbox>
          </v:rect>
        </w:pict>
      </w:r>
      <w:r>
        <w:rPr>
          <w:noProof/>
        </w:rPr>
        <w:pict w14:anchorId="49683DD1">
          <v:shape id="_x0000_s1026" type="#_x0000_t32" alt="" style="position:absolute;left:0;text-align:left;margin-left:98.5pt;margin-top:128.3pt;width:314.5pt;height:0;z-index:251666432;mso-wrap-edited:f;mso-width-percent:0;mso-height-percent:0;mso-width-percent:0;mso-height-percent:0" o:connectortype="straight">
            <v:stroke endarrow="block"/>
          </v:shape>
        </w:pict>
      </w:r>
    </w:p>
    <w:p w:rsidR="00CB374D" w:rsidRDefault="00CB374D" w:rsidP="00CB374D">
      <w:bookmarkStart w:id="0" w:name="_GoBack"/>
      <w:bookmarkEnd w:id="0"/>
    </w:p>
    <w:sectPr w:rsidR="00CB374D" w:rsidSect="00875735">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4667" w:rsidRDefault="00AC4667" w:rsidP="00194AD0">
      <w:r>
        <w:separator/>
      </w:r>
    </w:p>
  </w:endnote>
  <w:endnote w:type="continuationSeparator" w:id="0">
    <w:p w:rsidR="00AC4667" w:rsidRDefault="00AC4667" w:rsidP="0019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6474485"/>
      <w:docPartObj>
        <w:docPartGallery w:val="Page Numbers (Bottom of Page)"/>
        <w:docPartUnique/>
      </w:docPartObj>
    </w:sdtPr>
    <w:sdtEndPr/>
    <w:sdtContent>
      <w:sdt>
        <w:sdtPr>
          <w:id w:val="123787560"/>
          <w:docPartObj>
            <w:docPartGallery w:val="Page Numbers (Top of Page)"/>
            <w:docPartUnique/>
          </w:docPartObj>
        </w:sdtPr>
        <w:sdtEndPr/>
        <w:sdtContent>
          <w:p w:rsidR="00D612A8" w:rsidRDefault="00FF525C">
            <w:pPr>
              <w:pStyle w:val="Pieddepage"/>
              <w:jc w:val="center"/>
            </w:pPr>
            <w:r>
              <w:rPr>
                <w:b/>
                <w:sz w:val="24"/>
              </w:rPr>
              <w:fldChar w:fldCharType="begin"/>
            </w:r>
            <w:r w:rsidR="00D612A8">
              <w:rPr>
                <w:b/>
              </w:rPr>
              <w:instrText>PAGE</w:instrText>
            </w:r>
            <w:r>
              <w:rPr>
                <w:b/>
                <w:sz w:val="24"/>
              </w:rPr>
              <w:fldChar w:fldCharType="separate"/>
            </w:r>
            <w:r w:rsidR="00975312">
              <w:rPr>
                <w:b/>
                <w:noProof/>
              </w:rPr>
              <w:t>2</w:t>
            </w:r>
            <w:r>
              <w:rPr>
                <w:b/>
                <w:sz w:val="24"/>
              </w:rPr>
              <w:fldChar w:fldCharType="end"/>
            </w:r>
            <w:r w:rsidR="00D612A8">
              <w:t>/</w:t>
            </w:r>
            <w:r>
              <w:rPr>
                <w:b/>
                <w:sz w:val="24"/>
              </w:rPr>
              <w:fldChar w:fldCharType="begin"/>
            </w:r>
            <w:r w:rsidR="00D612A8">
              <w:rPr>
                <w:b/>
              </w:rPr>
              <w:instrText>NUMPAGES</w:instrText>
            </w:r>
            <w:r>
              <w:rPr>
                <w:b/>
                <w:sz w:val="24"/>
              </w:rPr>
              <w:fldChar w:fldCharType="separate"/>
            </w:r>
            <w:r w:rsidR="00975312">
              <w:rPr>
                <w:b/>
                <w:noProof/>
              </w:rPr>
              <w:t>2</w:t>
            </w:r>
            <w:r>
              <w:rPr>
                <w:b/>
                <w:sz w:val="24"/>
              </w:rPr>
              <w:fldChar w:fldCharType="end"/>
            </w:r>
          </w:p>
        </w:sdtContent>
      </w:sdt>
    </w:sdtContent>
  </w:sdt>
  <w:p w:rsidR="00D612A8" w:rsidRDefault="00D612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4667" w:rsidRDefault="00AC4667" w:rsidP="00194AD0">
      <w:r>
        <w:separator/>
      </w:r>
    </w:p>
  </w:footnote>
  <w:footnote w:type="continuationSeparator" w:id="0">
    <w:p w:rsidR="00AC4667" w:rsidRDefault="00AC4667" w:rsidP="0019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Look w:val="04A0" w:firstRow="1" w:lastRow="0" w:firstColumn="1" w:lastColumn="0" w:noHBand="0" w:noVBand="1"/>
    </w:tblPr>
    <w:tblGrid>
      <w:gridCol w:w="5495"/>
      <w:gridCol w:w="3671"/>
    </w:tblGrid>
    <w:tr w:rsidR="00194AD0" w:rsidTr="00156AC9">
      <w:tc>
        <w:tcPr>
          <w:tcW w:w="5495" w:type="dxa"/>
        </w:tcPr>
        <w:p w:rsidR="00194AD0" w:rsidRPr="00742398" w:rsidRDefault="00194AD0" w:rsidP="00156AC9">
          <w:pPr>
            <w:pStyle w:val="En-tte"/>
            <w:jc w:val="center"/>
            <w:rPr>
              <w:rFonts w:ascii="Arial" w:hAnsi="Arial" w:cs="Arial"/>
              <w:szCs w:val="20"/>
            </w:rPr>
          </w:pPr>
          <w:r w:rsidRPr="00742398">
            <w:rPr>
              <w:rFonts w:ascii="Arial" w:hAnsi="Arial" w:cs="Arial"/>
              <w:szCs w:val="20"/>
            </w:rPr>
            <w:t>Séquence</w:t>
          </w:r>
          <w:r>
            <w:rPr>
              <w:rFonts w:ascii="Arial" w:hAnsi="Arial" w:cs="Arial"/>
              <w:szCs w:val="20"/>
            </w:rPr>
            <w:t xml:space="preserve"> : </w:t>
          </w:r>
          <w:r w:rsidRPr="00742398">
            <w:rPr>
              <w:rFonts w:ascii="Arial" w:hAnsi="Arial" w:cs="Arial"/>
              <w:szCs w:val="20"/>
            </w:rPr>
            <w:t>thermique dynamique d’un chauffe-eau solaire</w:t>
          </w:r>
        </w:p>
      </w:tc>
      <w:tc>
        <w:tcPr>
          <w:tcW w:w="3671" w:type="dxa"/>
        </w:tcPr>
        <w:p w:rsidR="00194AD0" w:rsidRPr="00742398" w:rsidRDefault="00194AD0" w:rsidP="00156AC9">
          <w:pPr>
            <w:pStyle w:val="En-tte"/>
            <w:rPr>
              <w:rFonts w:ascii="Arial" w:hAnsi="Arial" w:cs="Arial"/>
              <w:szCs w:val="20"/>
            </w:rPr>
          </w:pPr>
          <w:r w:rsidRPr="00742398">
            <w:rPr>
              <w:rFonts w:ascii="Arial" w:hAnsi="Arial" w:cs="Arial"/>
              <w:szCs w:val="20"/>
            </w:rPr>
            <w:t>TERMINALE STI2D spécialité 2I2D</w:t>
          </w:r>
        </w:p>
      </w:tc>
    </w:tr>
  </w:tbl>
  <w:p w:rsidR="00194AD0" w:rsidRDefault="00194AD0" w:rsidP="00194AD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02BD"/>
    <w:multiLevelType w:val="hybridMultilevel"/>
    <w:tmpl w:val="1272F060"/>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0E2E8B"/>
    <w:multiLevelType w:val="hybridMultilevel"/>
    <w:tmpl w:val="6C00D580"/>
    <w:lvl w:ilvl="0" w:tplc="3908785C">
      <w:start w:val="1"/>
      <w:numFmt w:val="decimal"/>
      <w:lvlText w:val="1.%1"/>
      <w:lvlJc w:val="left"/>
      <w:pPr>
        <w:ind w:left="360" w:hanging="360"/>
      </w:pPr>
      <w:rPr>
        <w:rFonts w:ascii="Arial" w:hAnsi="Arial" w:cs="Arial" w:hint="default"/>
        <w:b/>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6205"/>
    <w:rsid w:val="00094D86"/>
    <w:rsid w:val="001357A9"/>
    <w:rsid w:val="00176205"/>
    <w:rsid w:val="00194AD0"/>
    <w:rsid w:val="002158AC"/>
    <w:rsid w:val="00277A2A"/>
    <w:rsid w:val="002A5D2A"/>
    <w:rsid w:val="002A7A20"/>
    <w:rsid w:val="002C004F"/>
    <w:rsid w:val="00306376"/>
    <w:rsid w:val="0038578F"/>
    <w:rsid w:val="003F77CC"/>
    <w:rsid w:val="00575042"/>
    <w:rsid w:val="006A1BDE"/>
    <w:rsid w:val="006F0E73"/>
    <w:rsid w:val="0076339B"/>
    <w:rsid w:val="007875A3"/>
    <w:rsid w:val="00792369"/>
    <w:rsid w:val="00875735"/>
    <w:rsid w:val="009002C3"/>
    <w:rsid w:val="00975312"/>
    <w:rsid w:val="009B0604"/>
    <w:rsid w:val="00AB557D"/>
    <w:rsid w:val="00AC4667"/>
    <w:rsid w:val="00B60E00"/>
    <w:rsid w:val="00B84415"/>
    <w:rsid w:val="00CB374D"/>
    <w:rsid w:val="00CB50DF"/>
    <w:rsid w:val="00CB6090"/>
    <w:rsid w:val="00D30BC0"/>
    <w:rsid w:val="00D612A8"/>
    <w:rsid w:val="00E22CE2"/>
    <w:rsid w:val="00E31F6F"/>
    <w:rsid w:val="00ED192D"/>
    <w:rsid w:val="00F51762"/>
    <w:rsid w:val="00FF06FF"/>
    <w:rsid w:val="00FF52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1" type="connector" idref="#_x0000_s1026"/>
        <o:r id="V:Rule2" type="connector" idref="#_x0000_s1028"/>
        <o:r id="V:Rule3" type="connector" idref="#_x0000_s1029"/>
        <o:r id="V:Rule4" type="connector" idref="#_x0000_s1030"/>
        <o:r id="V:Rule5" type="connector" idref="#_x0000_s1033"/>
      </o:rules>
    </o:shapelayout>
  </w:shapeDefaults>
  <w:decimalSymbol w:val=","/>
  <w:listSeparator w:val=";"/>
  <w14:docId w14:val="4256BF76"/>
  <w15:docId w15:val="{D1EADFF1-E54E-AC47-9ABC-E968DFC1D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6205"/>
    <w:pPr>
      <w:spacing w:before="0" w:beforeAutospacing="0" w:after="0" w:afterAutospacing="0"/>
    </w:pPr>
    <w:rPr>
      <w:rFonts w:ascii="Times New Roman" w:hAnsi="Times New Roman"/>
      <w:sz w:val="20"/>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76205"/>
    <w:pPr>
      <w:ind w:left="720"/>
      <w:contextualSpacing/>
    </w:pPr>
    <w:rPr>
      <w:rFonts w:eastAsia="Times New Roman" w:cs="Times New Roman"/>
    </w:rPr>
  </w:style>
  <w:style w:type="paragraph" w:styleId="En-tte">
    <w:name w:val="header"/>
    <w:basedOn w:val="Normal"/>
    <w:link w:val="En-tteCar"/>
    <w:uiPriority w:val="99"/>
    <w:unhideWhenUsed/>
    <w:rsid w:val="00194AD0"/>
    <w:pPr>
      <w:tabs>
        <w:tab w:val="center" w:pos="4513"/>
        <w:tab w:val="right" w:pos="9026"/>
      </w:tabs>
    </w:pPr>
  </w:style>
  <w:style w:type="character" w:customStyle="1" w:styleId="En-tteCar">
    <w:name w:val="En-tête Car"/>
    <w:basedOn w:val="Policepardfaut"/>
    <w:link w:val="En-tte"/>
    <w:uiPriority w:val="99"/>
    <w:rsid w:val="00194AD0"/>
    <w:rPr>
      <w:rFonts w:ascii="Times New Roman" w:hAnsi="Times New Roman"/>
      <w:sz w:val="20"/>
      <w:szCs w:val="24"/>
      <w:lang w:eastAsia="fr-FR"/>
    </w:rPr>
  </w:style>
  <w:style w:type="paragraph" w:styleId="Pieddepage">
    <w:name w:val="footer"/>
    <w:basedOn w:val="Normal"/>
    <w:link w:val="PieddepageCar"/>
    <w:uiPriority w:val="99"/>
    <w:unhideWhenUsed/>
    <w:rsid w:val="00194AD0"/>
    <w:pPr>
      <w:tabs>
        <w:tab w:val="center" w:pos="4513"/>
        <w:tab w:val="right" w:pos="9026"/>
      </w:tabs>
    </w:pPr>
  </w:style>
  <w:style w:type="character" w:customStyle="1" w:styleId="PieddepageCar">
    <w:name w:val="Pied de page Car"/>
    <w:basedOn w:val="Policepardfaut"/>
    <w:link w:val="Pieddepage"/>
    <w:uiPriority w:val="99"/>
    <w:rsid w:val="00194AD0"/>
    <w:rPr>
      <w:rFonts w:ascii="Times New Roman" w:hAnsi="Times New Roman"/>
      <w:sz w:val="20"/>
      <w:szCs w:val="24"/>
      <w:lang w:eastAsia="fr-FR"/>
    </w:rPr>
  </w:style>
  <w:style w:type="table" w:styleId="Grilledutableau">
    <w:name w:val="Table Grid"/>
    <w:basedOn w:val="TableauNormal"/>
    <w:uiPriority w:val="59"/>
    <w:rsid w:val="00194AD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158AC"/>
    <w:rPr>
      <w:rFonts w:ascii="Tahoma" w:hAnsi="Tahoma" w:cs="Tahoma"/>
      <w:sz w:val="16"/>
      <w:szCs w:val="16"/>
    </w:rPr>
  </w:style>
  <w:style w:type="character" w:customStyle="1" w:styleId="TextedebullesCar">
    <w:name w:val="Texte de bulles Car"/>
    <w:basedOn w:val="Policepardfaut"/>
    <w:link w:val="Textedebulles"/>
    <w:uiPriority w:val="99"/>
    <w:semiHidden/>
    <w:rsid w:val="002158AC"/>
    <w:rPr>
      <w:rFonts w:ascii="Tahoma"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3</Pages>
  <Words>455</Words>
  <Characters>2508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dc:creator>
  <cp:lastModifiedBy>Didier CELESTIN</cp:lastModifiedBy>
  <cp:revision>16</cp:revision>
  <dcterms:created xsi:type="dcterms:W3CDTF">2019-03-29T05:46:00Z</dcterms:created>
  <dcterms:modified xsi:type="dcterms:W3CDTF">2019-04-15T07:42:00Z</dcterms:modified>
</cp:coreProperties>
</file>